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桐城法院召开病媒生物防制工作推进会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为有效推进创建卫生城市工作，全面强化病媒生物防制效果，7月15日，桐城市人民法院召开病媒生物防制工作推进会。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上，蒋斌副院长传达了桐城市病媒生物防制专项工作调度会内容，并对下一步该院病媒生物防制工作的开展进行详细部署。他指出，病媒生物防制工作是创建国家和省卫生城市的一项重要内容，工作涉及面广，要认清形势，进一步提高对创卫工作的紧迫性、重要性，扎扎实实把各项工作做细、做实、做到位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要求，各部门要层层落实责任制，全院干警要在病媒生物防制行动中成为主角，充分利用横幅、宣传栏、标语等形式开展宣传工作，积极推广病媒生物防制知识和经验，营造全员参与的良好氛围。组织发动全员干警在本周五下午开展环境卫生大扫除，清除卫生死角，通过喷洒杀虫药水等方式对“四害”进行集中消杀，共同创造一个健康卫生安全的工作环境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977A6"/>
    <w:rsid w:val="669469AC"/>
    <w:rsid w:val="68A52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dcterms:modified xsi:type="dcterms:W3CDTF">2021-07-16T07:24:06Z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