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>孔城镇开展《民法典》宣传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  <w:t>《民法典》作为社会百科全书，为了让其为更多人所熟知，让更多群众知道在日常生活中如何维护自身权益，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  <w:t>月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13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  <w:t>日早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上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  <w:t>，孔城司法所联合镇人大，前往人员密集的孔城菜市场，向商户以及买菜的群众宣传《民法典》 。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  <w:t>司法所干警以及镇人大代表向群众散发民法典的宣传册，向群众解读民法典，包括主要内容、亮点及作用，尤其是涉及到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群众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  <w:t>日常生活中有关财产安全、婚姻家庭、人格尊严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  <w:t>等方面的内容。由司法所干警为群众详细解答部分法律条文，用通俗易懂的语言让群众认识到民法典既是保护自身权益的法典，也是必须遵守的规范。同时向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群众们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  <w:t>表示如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果在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  <w:t>法律方面需要援助、存在困难可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以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  <w:t>向村居联系，村居会及时予以支持。</w:t>
      </w:r>
    </w:p>
    <w:p>
      <w:p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此次的活动，使民法典得到了更广泛的传播，同时，群众法律意识的增强，有助于减少乡镇矛盾纠纷的发生，为创造和谐稳定的镇村环境提供了坚实基础。</w:t>
      </w:r>
    </w:p>
    <w:p>
      <w:pPr>
        <w:ind w:firstLine="64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(作者：赵媛媛 初审：阎小荣 终审：吴春富）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3OTBjM2Y1MDVhYTFhN2VhNTM3OWEzODliYjU3OTYifQ=="/>
  </w:docVars>
  <w:rsids>
    <w:rsidRoot w:val="00000000"/>
    <w:rsid w:val="2064548F"/>
    <w:rsid w:val="31774F92"/>
    <w:rsid w:val="49F20845"/>
    <w:rsid w:val="4AC629FC"/>
    <w:rsid w:val="724B2B0B"/>
    <w:rsid w:val="7892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385</Words>
  <Characters>387</Characters>
  <Lines>0</Lines>
  <Paragraphs>0</Paragraphs>
  <TotalTime>207</TotalTime>
  <ScaleCrop>false</ScaleCrop>
  <LinksUpToDate>false</LinksUpToDate>
  <CharactersWithSpaces>393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2022-06-21T02:42:00Z</dcterms:created>
  <dc:creator>Administrator</dc:creator>
  <cp:lastModifiedBy>lenovo2</cp:lastModifiedBy>
  <dcterms:modified xsi:type="dcterms:W3CDTF">2022-10-13T01:46:45Z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C57E72F6EA0A4F4D8923A61C64AF549D</vt:lpwstr>
  </property>
</Properties>
</file>