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</w:t>
      </w:r>
      <w:r>
        <w:rPr>
          <w:rFonts w:hint="eastAsia"/>
          <w:b/>
          <w:bCs/>
          <w:sz w:val="32"/>
          <w:szCs w:val="32"/>
        </w:rPr>
        <w:t>卅铺法庭顺利</w:t>
      </w:r>
      <w:r>
        <w:rPr>
          <w:rFonts w:hint="eastAsia"/>
          <w:b/>
          <w:bCs/>
          <w:sz w:val="32"/>
          <w:szCs w:val="32"/>
          <w:lang w:eastAsia="zh-CN"/>
        </w:rPr>
        <w:t>解除</w:t>
      </w:r>
      <w:r>
        <w:rPr>
          <w:rFonts w:hint="eastAsia"/>
          <w:b/>
          <w:bCs/>
          <w:sz w:val="32"/>
          <w:szCs w:val="32"/>
        </w:rPr>
        <w:t>一起合伙纠纷案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6月15日，桐城市人民法院卅铺法庭顺利调解一起合伙合同纠纷案件，圆满解除当事人合伙关系、合伙收入分割以及双方债务纠纷三大难题，保证了当事人合法权益及企业生产经营。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告罗某与被告黄某甲以及第三人黄某乙原系朋友关系。2019年，三人协商合伙经营一家餐饮店，各自按比例出资，共同承担合伙开支，共享合伙收益。原告承租并装修了餐饮店，且负责餐饮店前期经营。餐饮店开业数月后，原告家中出事无法管理餐饮店，后由黄某甲主要经营该餐饮店。2021年，第三人黄某乙退出合伙关系。原、被告双方因合伙收益分配问题发生矛盾，协商未果后，原告诉至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卅铺法庭为查明案件事实，厘清合伙出资以及经营收入，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餐饮店所在地进行调查，并向第三人黄某乙及餐饮店房东王某了解案件事实。在充分调查后，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承办法官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组织三方当事人调解，帮助当事人清算合伙收益分配，整理合伙关系存续，解决该案所涉及的另两起原、被告债务诉讼纠纷。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利用“六尺巷调解法”调解了一下午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，原、被告达成一致意见，双方自愿解除了合伙关系，清算了合伙收益分配及债务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握手言和，一案解决三起纠纷，取得了良好的社会效果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和法律效果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（江兰兰）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7E2E"/>
    <w:rsid w:val="65EC5DBF"/>
    <w:rsid w:val="66A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2023-06-25T01:38:53Z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