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桐城法院：一起合同纠纷案成功执行到位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50万元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为民办实事为企优环境，近日以来，桐城市人民法院执行局持续深化“江淮风暴”惠民暖企执行行动，加大执行力度，周末不打烊。6月11日，将一起合同纠纷案成功执行到位50万元，为优化辖区法治化营商环境贡献司法力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被告系朋友关系，2019年，双方共同参与某小区劳务工程项目，并缴纳一定保证金。同年年底，原告发现与总包单位签订的工程承包合同价格严重偏低，合同中也没有规定工程履约保证金事项，遂退出合作，要求被告与工程部退还保证金。案件进入执行程序后，承办法官依法向两名被执行人送达执行通知书、报告财产令，并电话联系被执行人，告知其拒不履行生效法律文书确定的义务所面临的惩戒后果，敦促其尽快履行义务。被执行人张某身在武汉，执行法官将其传唤至执行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11日周日，承办法官组织双方再次进行调解。调解过程中，法官一边释法明理，一边秉承善意文明执行理念，充分征求案件双方意见。在强制执行的严肃威慑力下，张某由亲友代为偿还50万元，余款达成执行和解协议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2023-06-12T02:31:11Z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