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桐城法院：一起合同纠纷案成功执行到位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50万元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进一步为民办实事为企优环境，近日以来，桐城市人民法院执行局持续深化“江淮风暴”惠民暖企执行行动，加大执行力度，周末不打烊。6月11日，将一起合同纠纷案成功执行到位50万元，为优化辖区法治化营商环境贡献司法力量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原被告系朋友关系，2019年，双方共同参与某小区劳务工程项目，并缴纳一定保证金。同年年底，原告发现与总包单位签订的工程承包合同价格严重偏低，合同中也没有规定工程履约保证金事项，遂退出合作，要求被告与工程部退还保证金。案件进入执行程序后，承办法官依法向两名被执行人送达执行通知书、报告财产令，并电话联系被执行人，告知其拒不履行生效法律文书确定的义务所面临的惩戒后果，敦促其尽快履行义务。被执行人张某身在武汉，执行法官将其传唤至执行局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月11日周日，承办法官组织双方再次进行调解。调解过程中，法官一边释法明理，一边秉承善意文明执行理念，充分征求案件双方意见。在强制执行的严肃威慑力下，张某由亲友代为偿还50万元，余款达成执行和解协议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（严娅）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2023-06-12T02:31:11Z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