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礼让调解显温情，桐城法院执结工伤赔偿纠纷</w:t>
      </w:r>
    </w:p>
    <w:p>
      <w:pPr>
        <w:ind w:firstLine="643" w:firstLineChars="200"/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6月4日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，桐城市人民法院执行局运用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六尺巷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，成功化解一起工伤待遇纠纷案件，劳动者获赔26万余元，合法权益得到保障。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7月，汪某某在桐城某公司从事搬运工作时意外受伤。经桐城市人力资源和社会保障局认定为工伤，专业机构鉴定构成伤残八级。然而公司却消极应对，拒绝支付伤残赔偿款。作为家庭主要收入来源，汪某某受伤后不仅无法工作，还要承担高额医疗费用，家庭陷入经济困境。在长达近两年的时间里，汪某某多次与公司协商无果，最终于2025年2月向法院申请强制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案件受理后，桐城法院执行局高度重视，迅速成立专项执行小组，对涉案公司的经营状况、财务情况进行全面调查。执行法官多次组织双方调解，运用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六尺巷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，以包容互谅的理念为引导，耐心释法明理。法官既向公司阐明拒不履行义务的法律后果，也站在企业角度分析积极解决问题对维护声誉的重要性；同时鼓励汪某某保持理性，共同寻求解决方案。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经过不懈努力，双方最终达成和解协议。被执行人按约定一次性支付全额赔偿款。拿到赔偿款时，汪某某激动不已：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感谢法院，帮我们家渡过了难关！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此次案件的圆满解决，充分展现了桐城法院维护劳动者权益的坚定决心，也彰显了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六尺巷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在化解矛盾纠纷中的独特优势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今后，该</w:t>
      </w:r>
      <w:r>
        <w:rPr>
          <w:rFonts w:hint="eastAsia" w:ascii="仿宋_GB2312" w:hAnsi="仿宋_GB2312" w:eastAsia="仿宋_GB2312" w:cs="仿宋_GB2312"/>
          <w:sz w:val="32"/>
          <w:szCs w:val="32"/>
        </w:rPr>
        <w:t>院将继续深化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六尺巷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”，化解群众矛盾，维护合法权益，让司法有力度更有温度，切实解决群众急难愁盼的问题。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（胡忠深）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52B53"/>
    <w:rsid w:val="1F306444"/>
    <w:rsid w:val="286F5069"/>
    <w:rsid w:val="675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2025-06-05T01:15:48Z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