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市人大常委会到市法院开展履职</w:t>
      </w:r>
      <w:r>
        <w:rPr>
          <w:rFonts w:hint="eastAsia"/>
          <w:b/>
          <w:bCs/>
          <w:sz w:val="32"/>
          <w:szCs w:val="32"/>
          <w:lang w:val="en-US" w:eastAsia="zh-CN"/>
        </w:rPr>
        <w:t>情况考核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10月21日下午，桐城市人大常委会党组副书记、副主任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汪名东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率考核组一行，到桐城市人民法院开展“一府两院”工作人员履职情况考核。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报告会上，考核组组长汪名东就市人大常委会开展此次履职情况考核的目的、方法和具体安排做了说明，强调要以高度负责的态度对待考核工作，主动参与、全力配合，坚持实事求是、客观公正的原则开展评价，确保履职考核工作高质量完成。 随后，市法院履职考核对象党组成员、副院长蒋斌作履职报告。会议现场进行了民主测评，会后还组织了个别谈话，全面了解考核对象有关情况。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市法院将以此次履职情况考核为契机，更加自觉主动接受市人大及其常委会监督，进一步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聚焦司法行为规范化、队伍能力专业化建设，持续优化审判执行质效，推动法院各项工作提质增效。</w:t>
      </w:r>
      <w:bookmarkStart w:id="2" w:name="_GoBack"/>
      <w:bookmarkEnd w:id="2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5E53"/>
    <w:rsid w:val="24D662AB"/>
    <w:rsid w:val="3DFE46F7"/>
    <w:rsid w:val="42543AD3"/>
    <w:rsid w:val="7A5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351</Characters>
  <Lines>0</Lines>
  <Paragraphs>0</Paragraphs>
  <TotalTime>9</TotalTime>
  <ScaleCrop>false</ScaleCrop>
  <LinksUpToDate>false</LinksUpToDate>
  <CharactersWithSpaces>352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2025-10-21T08:01:45Z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A3FFB33805B24DF39BECAE655CB30520_12</vt:lpwstr>
  </property>
</Properties>
</file>