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桐城法院：</w:t>
      </w:r>
      <w:r>
        <w:rPr>
          <w:rFonts w:hint="eastAsia"/>
          <w:b/>
          <w:bCs/>
          <w:sz w:val="32"/>
          <w:szCs w:val="32"/>
        </w:rPr>
        <w:t>三年维权终得偿</w:t>
      </w:r>
      <w:r>
        <w:rPr>
          <w:rFonts w:hint="eastAsia"/>
          <w:b/>
          <w:bCs/>
          <w:sz w:val="32"/>
          <w:szCs w:val="32"/>
          <w:lang w:eastAsia="zh-CN"/>
        </w:rPr>
        <w:t>，</w:t>
      </w:r>
      <w:r>
        <w:rPr>
          <w:rFonts w:hint="eastAsia"/>
          <w:b/>
          <w:bCs/>
          <w:sz w:val="32"/>
          <w:szCs w:val="32"/>
        </w:rPr>
        <w:t>抚养费执行暖民心</w:t>
      </w:r>
    </w:p>
    <w:bookmarkEnd w:id="0"/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11月17日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，一起历时三年的抚养费纠纷执行案件，在法官的不懈攻坚下圆满落幕。申请执行人方女士接过全部拖欠抚养费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这场横跨三年的维权之路，终于画上了温暖的句号。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据悉，方女士与唐某于2021年经法院判决离婚，婚生子女由方女士直接抚养，唐某需每月支付2000元抚养费。然而判决生效后，唐某却以各类理由拖延、拒付，让独自承担孩子教育、医疗及生活开支的方女士不堪重负。多次协商无果后，方女士于2022年向法院申请强制执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案件进入执行程序后，执行法官第一时间向唐某送达执行通知书、财产报告令等法律文书，但唐某始终消极应对，甚至刻意隐匿财产、规避执行。为守护申请执行人与未成年子女的合法权益，执行法官双管齐下：一方面全面排查唐某的银行存款、房产、车辆等财产线索，织密财产查控网；另一方面多次约谈唐某，释明法律规定与拒不执行的严重后果，打消其侥幸心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中法官发现，唐某并非无履行能力，而是存在认知偏差，认为离婚后可少承担甚至不承担子女抚养责任。针对这一核心问题，法官结合典型案例，从亲情伦理、法律义务、子女成长需求等角度耐心劝导，让唐某深刻认识到，支付抚养费是父母不可推卸的法定义务，更是保障未成年子女健康成长的关键。同时，法院依法对唐某采取限制高消费措施，压缩其规避执行空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敦促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其履行义务。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过三年持续跟进、反复沟通，唐某最终转变态度，主动将全部拖欠抚养费足额缴至法院执行账户。“感谢法院和法官的坚持！这笔钱解了我的燃眉之急，更让孩子感受到了父亲的责任与法律的温度。”方女士接过执行款时激动地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（胡忠深）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77F31"/>
    <w:rsid w:val="29396371"/>
    <w:rsid w:val="6A16319E"/>
    <w:rsid w:val="7C7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2025-11-18T00:28:57Z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