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B4B9569">
      <w:pPr>
        <w:pStyle w:val="style0"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  <w:bookmarkStart w:id="0" w:name="_GoBack"/>
      <w:r>
        <w:rPr>
          <w:rFonts w:ascii="宋体" w:cs="宋体" w:eastAsia="宋体" w:hAnsi="宋体" w:hint="eastAsia"/>
          <w:b/>
          <w:bCs/>
          <w:sz w:val="32"/>
          <w:szCs w:val="32"/>
        </w:rPr>
        <w:t>司法护航民企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，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桐城法院高效执结纠纷追回货款15万余元</w:t>
      </w:r>
    </w:p>
    <w:bookmarkEnd w:id="0"/>
    <w:p w14:paraId="B61CBA4B">
      <w:pPr>
        <w:pStyle w:val="style0"/>
        <w:rPr>
          <w:rFonts w:hint="eastAsia"/>
        </w:rPr>
      </w:pPr>
    </w:p>
    <w:p w14:paraId="7F0D2325"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11月21日</w:t>
      </w:r>
      <w:r>
        <w:rPr>
          <w:rFonts w:ascii="仿宋_GB2312" w:cs="仿宋_GB2312" w:eastAsia="仿宋_GB2312" w:hAnsi="仿宋_GB2312" w:hint="eastAsia"/>
          <w:sz w:val="32"/>
          <w:szCs w:val="32"/>
        </w:rPr>
        <w:t>，桐城市人民法院执行局成功执结一起涉民营企业买卖合同纠纷案件，依法为申请执行的民营企业追回全部拖欠货款及利息共计15万余元，以高效有力的司法执行举措，为民营经济健康发展筑牢法治屏障。</w:t>
      </w:r>
    </w:p>
    <w:p w14:paraId="4896D324"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被执行人刘某自2023年起与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桐城</w:t>
      </w:r>
      <w:r>
        <w:rPr>
          <w:rFonts w:ascii="仿宋_GB2312" w:cs="仿宋_GB2312" w:eastAsia="仿宋_GB2312" w:hAnsi="仿宋_GB2312" w:hint="eastAsia"/>
          <w:sz w:val="32"/>
          <w:szCs w:val="32"/>
        </w:rPr>
        <w:t>某民营企业建立生意合作关系，合作期间拖欠该企业货款，经多次催要仍未支付。协商无果后，该企业为维护自身合法权益，将刘某诉至法院。案件审理阶段，经法院主持调解，双方达成一致还款协议，但刘某在调解协议生效后仍拒不履行支付义务，该企业遂向法院申请强制执行。</w:t>
      </w:r>
    </w:p>
    <w:p w14:paraId="1B3327A9"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案件进入执行程序后，执行法官第一时间向被执行人刘某送达执行通知书、财产报告令等法律文书，并同步开展财产调查工作。同时，法官耐心向刘某释法明理，明确告知其拒不履行生效法律文书确定义务将面临的信用惩戒、司法拘留等法律后果。在法院强大的执行威慑力和清晰的法律指引下，刘某最终认识到自身行为的严重性，主动全额支付了所欠货款及相应利息。</w:t>
      </w:r>
    </w:p>
    <w:p w14:paraId="F6F6C8DC"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拿到执行款后，该企业法定代表人专程向法院表示感谢，对桐城法院快速响应诉求、高效执结案件的工作效率给予高度评价，称这笔执行款及时缓解了企业的资金周转压力，让企业感受到了司法的力度与温度。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（黄俊达）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微软雅黑 Light"/>
    <w:panose1 w:val="020b0502040002020203"/>
    <w:charset w:val="86"/>
    <w:family w:val="auto"/>
    <w:pitch w:val="default"/>
    <w:sig w:usb0="80000287" w:usb1="2ACF0010" w:usb2="00000016" w:usb3="00000000" w:csb0="0004001F" w:csb1="00000000"/>
  </w:font>
  <w:font w:name="Calibri Light">
    <w:altName w:val="Calibri Light"/>
    <w:panose1 w:val="020f0302020002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516</Words>
  <Pages>1</Pages>
  <Characters>523</Characters>
  <Application>WPS Office</Application>
  <DocSecurity>0</DocSecurity>
  <Paragraphs>6</Paragraphs>
  <ScaleCrop>false</ScaleCrop>
  <LinksUpToDate>false</LinksUpToDate>
  <CharactersWithSpaces>523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2025-11-21T08:06:00Z</dcterms:created>
  <dc:creator>Administrator</dc:creator>
  <lastModifiedBy>TNA-AN00</lastModifiedBy>
  <dcterms:modified xsi:type="dcterms:W3CDTF">2025-11-21T08:18:47Z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114df9627b5649b49c7673ac18945780_22</vt:lpwstr>
  </property>
</Properties>
</file>