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桐城法院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  <w:r>
        <w:rPr>
          <w:rFonts w:hint="eastAsia"/>
          <w:b/>
          <w:bCs/>
          <w:sz w:val="32"/>
          <w:szCs w:val="32"/>
        </w:rPr>
        <w:t>宪法日普法宣传进广场 法治服务暖民心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个国家宪法日来临之际，为深入学习宣传习近平法治思想，大力弘扬宪法精神，切实提升群众法治意识和维权能力，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12月4日上午，</w:t>
      </w:r>
      <w:r>
        <w:rPr>
          <w:rFonts w:hint="eastAsia" w:ascii="仿宋_GB2312" w:hAnsi="仿宋_GB2312" w:eastAsia="仿宋_GB2312" w:cs="仿宋_GB2312"/>
          <w:sz w:val="32"/>
          <w:szCs w:val="32"/>
        </w:rPr>
        <w:t>桐城市人民法院组织干警走进市民广场开展普法宣传活动，以实际行动将法治服务送到群众身边。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现场，法院干警通过设立宣传咨询台、发放法治宣传册、现场答疑解惑等形式，向过往群众普及法律知识。针对群众日常生活中高频遇到的婚姻家庭、邻里纠纷、财产继承、劳动合同等法律问题，干警结合《民法典》相关条款，用通俗易懂的语言进行细致解读，通过典型案例剖析让抽象的法律条文变得生动具体，引导群众学会运用法律武器维护自身合法权益。同时，聚焦电信网络诈骗高发态势，干警重点讲解了网络刷单、虚假贷款、冒充客服退款等常见诈骗手段的识别方法和防范技巧，提醒群众时刻保持警惕，守好自身“钱袋子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此次宣传活动，共发放宣传资料300余份，现场接待群众咨询20余人次，有效解答了群众在法律适用、权益保障等方面的疑问。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该院</w:t>
      </w:r>
      <w:r>
        <w:rPr>
          <w:rFonts w:hint="eastAsia" w:ascii="仿宋_GB2312" w:hAnsi="仿宋_GB2312" w:eastAsia="仿宋_GB2312" w:cs="仿宋_GB2312"/>
          <w:sz w:val="32"/>
          <w:szCs w:val="32"/>
        </w:rPr>
        <w:t>将持续深化普法宣传工作，创新普法形式、丰富普法内容，推动法治宣传教育常态化、精准化，为建设平安桐城、法治桐城筑牢坚实法治基础。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9497A"/>
    <w:rsid w:val="31554D4F"/>
    <w:rsid w:val="36B36F1A"/>
    <w:rsid w:val="36DE7E49"/>
    <w:rsid w:val="3885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2025-12-04T03:00:56Z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