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桐城法院开展“一张网”系统操作专题培训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为深入推进数字法院建设，全面提升书记员队伍信息化应用能力，确保“一张网”办案办公平台规范、高效运行，助力审判执行工作提质增效，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12月12日下午</w:t>
      </w:r>
      <w:r>
        <w:rPr>
          <w:rFonts w:hint="eastAsia" w:ascii="仿宋_GB2312" w:hAnsi="仿宋_GB2312" w:eastAsia="仿宋_GB2312" w:cs="仿宋_GB2312"/>
          <w:sz w:val="32"/>
          <w:szCs w:val="32"/>
        </w:rPr>
        <w:t>，桐城市人民法院组织全院书记员开展“一张网”系统操作业务集中培训，党组书记、院长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张跃</w:t>
      </w:r>
      <w:r>
        <w:rPr>
          <w:rFonts w:hint="eastAsia" w:ascii="仿宋_GB2312" w:hAnsi="仿宋_GB2312" w:eastAsia="仿宋_GB2312" w:cs="仿宋_GB2312"/>
          <w:sz w:val="32"/>
          <w:szCs w:val="32"/>
        </w:rPr>
        <w:t>出席培训并作讲话。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本次培训以《桐城法院“一张网”系统书记员操作手册（民事篇）》为核心内容展开教学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紧扣书记员岗位核心需求，以“实战实用、精准赋能”为导向，重点讲解系统基础操作、办案系统全流程操作、款费管理规范及卷宗归档指引四大板块。培训中，授课人员通过“理论讲解+实操演示+现场答疑”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的方式，清晰梳理系统操作流程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针对书记员日常工作中可能遇到的系统适配、数据同步等堵点难点，进行指导演示，确保每位参训人员切实掌握系统操作核心要领。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张跃院长在讲话中强调，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一是要提高思想认识，主动适应信息化办案新形势，以严谨态度扎实学好系统操作技能；二是要立足岗位实际，熟练运用系统提升工作效率，筑牢审判执行辅助工作基础；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三是要严守工作规范，强化责任担当，以专业素养和务实作风维护司法公信力，为法院工作高质量发展提供坚实保障。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（严娅）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A78C5"/>
    <w:rsid w:val="0D057550"/>
    <w:rsid w:val="0ED37176"/>
    <w:rsid w:val="3A385F50"/>
    <w:rsid w:val="3CAF1DFE"/>
    <w:rsid w:val="4E886A22"/>
    <w:rsid w:val="563565A4"/>
    <w:rsid w:val="5CD304DF"/>
    <w:rsid w:val="6424213D"/>
    <w:rsid w:val="7BD93B79"/>
    <w:rsid w:val="7E2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2025-12-12T09:06:55Z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