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桐城法院：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九轮竞价溢价33万元 金融借款合同纠纷案资产拍卖落槌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近日，桐城市某商业银行股份有限公司与桐城市某包装材料有限公司、黄某、骆某金融借款合同纠纷一案，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在司法拍卖环节取得进展。被告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包装材料有限公司名下位于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桐城市新渡镇的工业用途房地产及附属物，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经9轮竞价后成功拍出，为案件执行推进奠定基础。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2016年3月，桐城市某包装材料有限公司因经营需要，向桐城市某商业银行股份有限公司借款500万元，该公司以自有上述工业房地产及附属物提供抵押担保，公司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黄某及其妻子骆某为借款承担保证责任。借款于2017年3月到期后，被告方未能按期足额还款。原告多次交涉无果后诉至法院，案件进入执行程序时，案涉本息已累计至749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为兑现债权人合法权益，执行法官依法对抵押的工业房地产及附属物启动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</w:t>
      </w:r>
      <w:r>
        <w:rPr>
          <w:rFonts w:hint="eastAsia" w:ascii="仿宋_GB2312" w:hAnsi="仿宋_GB2312" w:eastAsia="仿宋_GB2312" w:cs="仿宋_GB2312"/>
          <w:sz w:val="32"/>
          <w:szCs w:val="32"/>
        </w:rPr>
        <w:t>拍卖程序，通过淘宝司法拍卖平台公开处置。标的物起拍价为749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元，拍卖信息发布后，引发市场关注，竞拍期间共经历9轮激烈竞价，最终以782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元成交，较起拍价溢价33万元。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本次司法拍卖的顺利成交，有效盘活了涉案资产，为债权实现提供了有力支撑。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这一高效处置方式，既依托平台的公开透明充分保障了各方的权益，也让涉案资产的价值得到了最大化体现。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（严娅）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37A6F"/>
    <w:rsid w:val="0D4345E8"/>
    <w:rsid w:val="132C1092"/>
    <w:rsid w:val="1C881864"/>
    <w:rsid w:val="1E234D00"/>
    <w:rsid w:val="1F3C4BF2"/>
    <w:rsid w:val="45414A1E"/>
    <w:rsid w:val="45D43C78"/>
    <w:rsid w:val="481A4D06"/>
    <w:rsid w:val="4FDE4A75"/>
    <w:rsid w:val="59B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2025-12-16T08:01:33Z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