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bCs w:val="0"/>
          <w:color w:val="auto"/>
          <w:sz w:val="32"/>
          <w:szCs w:val="32"/>
          <w:bdr w:val="none" w:color="auto" w:sz="0" w:space="0"/>
        </w:rPr>
        <w:t>替父母担责却拖欠赔偿？桐城法院柔性执行化纠纷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12月26日，桐城市人民法院柔性执结一起提供劳务致害死亡赔偿案件，被执行人将剩余45000元执行款全额交付，四申请执行人的合法权益得以实现。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四申请执行人的家属受雇于被执行人父母经营的茶厂采茶，因茶厂未提供防护用品、未采取防护措施，其家属采茶时被蜱虫叮咬，后经治疗无效死亡。2024年9月，四申请人诉至法院，请求判令赔偿死亡赔偿金等损失。经法官调解，双方达成协议，由被执行人代父母一次性补偿四申请人各项损失共计9万元。被执行人先行支付45000元后，余款却未按期履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2025年12月，四申请人向法院申请强制执行。执行法官第一时间对被执行人名下财产展开查控，并主动联系双方当事人沟通案情。起初，被执行人态度消极，以经营困难为由表示短期内无力履行。执行法官查询其账户后，发现确实无大额资金可供执行。执行法官联系审理法官及双方代理律师，详细了解案件背景。经查实，涉案劳务致害事件的责任方本为被执行人父母，因父母年事已高，被执行人主动承担起赔偿责任，与申请执行人达成调解协议并支付了半数款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掌握这一情况后，执行法官再次约谈被执行人，既对其主动替父母担责的行为予以肯定，也清晰阐明了拒不履行生效法律文书的法律后果。在执行法官的释法明理和耐心劝导下，被执行人转变态度，承诺尽快筹款履行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12月26日，被执行人将剩余45000元执行款全额交付。至此，这起提供劳务致害死亡赔偿案件圆满执结，法院以柔性执行的方式，既维护了申请执行人的合法权益，也兼顾了情理，实现了法律效果与社会效果的统一。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  <w:t>）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2025-12-29T00:29:39Z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