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/>
          <w:b/>
          <w:bCs/>
          <w:sz w:val="32"/>
          <w:szCs w:val="32"/>
          <w:lang w:val="en-US" w:eastAsia="zh-CN"/>
        </w:rPr>
        <w:t>桐城法院：拖欠工资近三年 司法拘留促履行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“拖了快三年的工资，终于拿到手了！”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1月15日，桐城市人民法院执行局内，10名工人接过15.9万元工资，脸上满是欣慰。这场跨时三年的欠薪纠纷，在法院强制执行下圆满化解。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9月，10名桐城工人受杨某邀约，参与其承建的本地某小区木工工程，双方明确工资标准。工程完工后，杨某自2022年11月起拖欠部分工资，经工人多次协商、劳动监察大队责令支付仍拒不履行。2024年，工人诉至桐城法院，判决生效后杨某仍推诿拖延，案件进入执行程序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法官第一时间送达执行通知书、报告财产令等文书，通过网络查控未发现足额可供执行财产。多次电话劝导杨某履行义务，但其始终推诿拖延，法官遂依法拘传其到庭。释法明理中，法官告知其欠薪违法性及拒不执行的法律后果，明确工程款需优先支付人工费用，但杨某仍态度强硬、拒不配合。经深入调查，法官查明杨某已从甲方南通某公司领取85%工程进度款，却未优先支付工资，而是擅自用于材料款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因杨某有履行能力却拒不执行，严重侵害工人权益，法院依法对其司法拘留15日。在法律威慑与思想教育下，杨某认清自身错误，拘留期满后领取剩余工程款，于1月15日将15.9万元欠薪全额缴至法院。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当日，法院组织工人集中领款，10名工人逐一核对签字，拖欠近三年的工资足额发放。此次执行既彰显司法权威，又守护了工人合法权益，以执行力度传递司法为民温度。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（严娅 方阳）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073C4"/>
    <w:rsid w:val="454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2026-01-16T03:24:53Z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