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sz w:val="32"/>
          <w:szCs w:val="32"/>
        </w:rPr>
        <w:t>高效执行获认可 锦旗致谢暖民心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1月29日，申请执行人王某来到桐城市人民法院，将一面锦旗送到执行法官手中，向法院执行110团队快速出击、高效执结其与朱某的欠款纠纷案，成功追回欠款表达诚挚感谢。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前，朱某拖欠王某借款迟迟不还，案件进入执行程序后，朱某刻意躲避执行，导致案件推进困难。1月15日晚，桐城法院执行110接到线索后迅速行动，连夜找到被执行人，通过释法明理促成案件当场全额履行，切实维护了王某的合法权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这面锦旗，是群众对法院执行工作的认可，更是一份激励。桐城法院执行110将继续保持24小时备勤，快速响应执行线索，用务实的执行举措，兑现胜诉权益，守护司法公正。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0AB4"/>
    <w:rsid w:val="3C2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2026-01-30T01:07:58Z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