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OLE_LINK1"/>
      <w:r>
        <w:rPr>
          <w:rFonts w:hint="eastAsia"/>
          <w:b/>
          <w:bCs/>
          <w:sz w:val="32"/>
          <w:szCs w:val="32"/>
        </w:rPr>
        <w:t>徽动执行护民生 利剑出鞘保兑现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——桐城市人民法院系列专项执行行动成效显著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辞旧迎新之际，桐城市人民法院始终坚守司法为民初心，聚焦群众急难愁盼的执行难点，先后开展三期“徽动执行·守护民生”专项执行行动。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执行干警闻令而动、连续攻坚，以有力举措捍卫法律权威，以规范执行守护公平正义，用实实在在的执行成果兑现胜诉权益，为保障群众安心过节、助力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辖区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和谐稳定提供坚实司法保障。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凌晨亮剑，集中攻坚治欠薪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2025年11月20日凌晨，天未破晓、寒风凛冽，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尚在沉睡之中，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执行干警已整装集结、闻令而动，正式拉开“徽动执行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守护民生”专项执行行动序幕。干警们直奔执行现场，查人找物、依法惩戒，以高效执行回应群众期盼。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2025年12月26日凌晨，执行干警再次星夜集结，多辆警车迎着凛冽寒风奔赴执行一线，开展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徽动执行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治理欠薪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冬季执行行动。本次行动以涉民生案件为核心，重点攻坚欠薪案件与农民工工资案件，紧盯群众“急难愁盼”，以铁腕执行守护劳动者“钱袋子”。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2026年2月6日凌晨，护民生保兑现“徽动执行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守护民生”专项执行行动再次启幕。行动持续聚焦涉民生案件办理，重点攻坚涉农民工工资案件，严厉打击恶意逃废债行为，靶向护航新业态就业群体、弱势群体、特殊群体胜诉权益，全力推动生效法律文书落地兑现，以新春执行攻坚为民生保驾护航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刚柔并济、分类施策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提质效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执行过程中，法院坚持</w:t>
      </w:r>
      <w:bookmarkStart w:id="1" w:name="OLE_LINK2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刚柔并济、分类施策</w:t>
      </w:r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对长期逃避执行、拒不履行义务的被执行人，依法果断采取拘传、拘留、查封扣押、冻结划拨等强制措施，形成强大震慑；对确有家庭困难、暂无一次性履行能力的被执行人，耐心沟通、释法明理，积极促成分期履行、执行和解，最大限度兼顾法理与人情；对身患疾病、行动不便的特殊被执行人，坚持上门执行、人性化办案，在严守法律底线的同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传递司法温度；对下落不明、行踪难觅的被执行人，通过官方微信公众号、抖音号等平台，常态化发布预拘留公告、失信被执行人曝光信息、悬赏执行公告，以全媒体矩阵扩大执行威慑，全方位压缩规避执行空间，切实打通实现公平正义的“最后一公里”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阳光执行，全程监督促公正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期专项行动始终坚持公开执行、阳光执行、规范执行，主动邀请人大代表、政协委员、检察机关工作人员全程参与、全程见证、全程监督。监督人员深入执行一线，实地查看执行现场，监督执行流程，见证案件执结，对执行行为、执行程序、执行作风进行全方位监督。通过主动接受外部监督，进一步规范执行行为、严明执行纪律、改进执行作风，有效提升执行工作透明度与公信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雷霆出击，战果丰硕显担当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系列专项行动开展以来，桐城市人民法院执行干警连续作战、攻坚克难，依法采取拘传、拘留、查封、扣押、冻结、搜查等强制执行措施，打出一套强劲有力的“执行组合拳”。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行动期间，共出动干警100余人次，查找被执行人172人次，依法拘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51人，对7名拒不履行生效法律文书义务的被执行人实施司法拘留，扣押车辆5辆，执结86件，其中和解54件，执行完毕32件，执行到位1181.91万元，一批长期未结的涉民生案件得以高效化解，群众获得感、幸福感、安全感持续提升。</w:t>
      </w:r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（严娅）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731CF"/>
    <w:rsid w:val="10DF78F2"/>
    <w:rsid w:val="140714C9"/>
    <w:rsid w:val="143850BD"/>
    <w:rsid w:val="1D2D5DBD"/>
    <w:rsid w:val="1F5034F1"/>
    <w:rsid w:val="308E1916"/>
    <w:rsid w:val="3A325479"/>
    <w:rsid w:val="62F34D91"/>
    <w:rsid w:val="6A74154A"/>
    <w:rsid w:val="745A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2026-02-12T03:13:09Z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