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524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桐城法院执行局新年上班首日获赠锦旗 </w:t>
      </w:r>
    </w:p>
    <w:p w14:paraId="2981189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1BC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2026年2月24日，农历正月初八，新春首个工作日，桐城市人民法院执行局迎来暖心“开门红”。当事人陈某某专程送来两面锦旗，一面书写“执行高效 雷厉风行 排忧解难 服务民众”，另一面书写“秉公执法 维护正义”，以最质朴的方式，向桐城法院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执行干警表达由衷谢意。</w:t>
      </w:r>
    </w:p>
    <w:p w14:paraId="53BE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获赠锦旗，源于一起跨越十年的买卖合同积案。2009年至2018年间，被执行人汤某某长期从申请人陈某某处采购猪饲料，累计拖欠货款高达53.4万元。2025年1月，陈某某向法院申请强制执行，可汤某某长期刻意隐匿行踪，导致执行工作一度陷入僵局，申请人的胜诉权益迟迟难以兑现。</w:t>
      </w:r>
    </w:p>
    <w:p w14:paraId="614BE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2026年春节期间，陈某某发现汤某某返乡过节，第一时间将关键线索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至法院。2月19日农历大年初三，执行干警放弃春节休息、闻令而动、果断出击，在汤某某参与宴会的现场依法对其进行传唤。面对汤某某的拒不配合与消极抗拒，执行法官依法果断对其采取司法拘留强制措施。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坚持法理情相融，主动联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汤某某所在村委会，反复与其家属沟通交流、释法明理，耐心讲解拒不履行法院生效裁判的法律后果。在多方努力下，最终促成汤某某家属当场代为偿还5万元欠款，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并就余款</w:t>
      </w:r>
      <w:r>
        <w:rPr>
          <w:rFonts w:hint="eastAsia" w:ascii="仿宋_GB2312" w:hAnsi="仿宋_GB2312" w:eastAsia="仿宋_GB2312" w:cs="仿宋_GB2312"/>
          <w:sz w:val="32"/>
          <w:szCs w:val="32"/>
        </w:rPr>
        <w:t>达成分期还款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和解协议，切实保障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申请人陈某某的合法权益。</w:t>
      </w:r>
    </w:p>
    <w:p w14:paraId="016831F3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（朱航）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97674"/>
    <w:rsid w:val="2AF41B1B"/>
    <w:rsid w:val="4123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538</Characters>
  <Lines>0</Lines>
  <Paragraphs>0</Paragraphs>
  <TotalTime>5</TotalTime>
  <ScaleCrop>false</ScaleCrop>
  <LinksUpToDate>false</LinksUpToDate>
  <CharactersWithSpaces>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2026-02-24T07:10:34Z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2F011E3AA7624E9AB86A138506B673C8_13</vt:lpwstr>
  </property>
</Properties>
</file>