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529CC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桐城法院：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员工带病加班猝死，用工与劳动者双向过错下的责任划分判例</w:t>
      </w:r>
    </w:p>
    <w:p w14:paraId="0580F110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53BEE89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加班引发劳动者猝死是劳动侵权纠纷中的常见痛点，近日，桐城市人民法院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民事审判二庭</w:t>
      </w:r>
      <w:r>
        <w:rPr>
          <w:rFonts w:hint="eastAsia" w:ascii="仿宋_GB2312" w:hAnsi="仿宋_GB2312" w:eastAsia="仿宋_GB2312" w:cs="仿宋_GB2312"/>
          <w:sz w:val="32"/>
          <w:szCs w:val="32"/>
        </w:rPr>
        <w:t>审结一起因长期加班诱发员工猝死的生命权纠纷案件，涉案企业因用工管理不规范被判承担相应赔偿责任，该案经二审维持原判，为劳资双方规范用工、合理劳作敲响法律警钟。</w:t>
      </w:r>
    </w:p>
    <w:p w14:paraId="1165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案情经过</w:t>
      </w:r>
    </w:p>
    <w:p w14:paraId="60EA7E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57岁的汪某入职某公司，在岗从事整理类工作。该公司薪酬采用基本工资+计件薪资+满勤奖励+晚班补助的计薪模式，多劳多得的薪资结构促使汪某为提升收入，在自身确诊患有高血压、存在基础慢性病的前提下持续长期加班，最终在加班结束后突发猝死。</w:t>
      </w:r>
    </w:p>
    <w:p w14:paraId="0F5FE9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故发生后，汪某家属主张：公司依靠计件薪酬制度变相逼迫员工超负荷加班，企业应当对汪某的死亡承担赔偿责任；涉事公司则抗辩，汪某系自愿主动加班，猝死根源是自身基础性疾病，企业无责并拒绝赔付，双方协商无果后诉至人民法院。</w:t>
      </w:r>
    </w:p>
    <w:p w14:paraId="615DB89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法院判决</w:t>
      </w:r>
    </w:p>
    <w:p w14:paraId="0680D3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桐城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审理查明，案涉企业用工安排超出法定每日8小时工作制，默许、放任员工长时间超时加班，用工行为违反《劳动法》相关规定，对汪某猝死结果存在过错；同时汪某明知自身身患高血压，未如实向用人单位报备身体情况，仍执意长期超负荷加班，自身对损害后果同样负有过错。综合死者年龄、自身患病体质、企业违规安排加班等多项客观因素，法院酌定：涉案公司承担20%赔偿责任，剩余损失由汪某家属自行承担。一审宣判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双方均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上诉，上级法院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经审理后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驳回上诉、维持原判。</w:t>
      </w:r>
    </w:p>
    <w:p w14:paraId="0793C3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法官说法</w:t>
      </w:r>
    </w:p>
    <w:p w14:paraId="60C5AF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当前社会职场加班现象普遍、劳动者工作负荷偏高，过劳猝死类意外频发，劳动者与用人单位都需要树立风险防范意识，从源头规避用工与务工风险：</w:t>
      </w:r>
    </w:p>
    <w:p w14:paraId="4F1B4AE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针对劳动者：日常密切监测自身健康状态，身患慢性病等特殊情况需如实向用工单位报备，结合身体耐受度合理规划工作时长；坚持定期体检，患病后及时规范治疗，量力劳作，避免带病超负荷加班。</w:t>
      </w:r>
    </w:p>
    <w:p w14:paraId="64962F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针对用人单位：建立员工健康管理制度，条件具备时为员工建立专属健康档案，常态化组织职工体检；依据员工身体条件合理调配工作岗位；确因生产需要安排加班的，必须严格遵照《劳动法》关于加班时长、加班审批的法定要求，严控超负荷用工。</w:t>
      </w:r>
    </w:p>
    <w:p w14:paraId="75A3C9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72692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（占正武）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54F4"/>
    <w:rsid w:val="738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873</Characters>
  <Lines>0</Lines>
  <Paragraphs>0</Paragraphs>
  <TotalTime>4</TotalTime>
  <ScaleCrop>false</ScaleCrop>
  <LinksUpToDate>false</LinksUpToDate>
  <CharactersWithSpaces>875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2026-06-05T03:24:42Z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98CDDA4679404849BE6817BE77BE1195_12</vt:lpwstr>
  </property>
</Properties>
</file>