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桐城法院：主播擅自停播被索赔20万，违约金该怎么判？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网络直播行业快速发展的当下，主播与传媒公司之间的合作违约纠纷时有发生。日前，桐城市人民法院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民事审判一庭</w:t>
      </w:r>
      <w:r>
        <w:rPr>
          <w:rFonts w:hint="eastAsia" w:ascii="仿宋_GB2312" w:hAnsi="仿宋_GB2312" w:eastAsia="仿宋_GB2312" w:cs="仿宋_GB2312"/>
          <w:sz w:val="32"/>
          <w:szCs w:val="32"/>
        </w:rPr>
        <w:t>审结一起直播合作违约案件，针对合同约定的高额违约金作出合理调整，为行业类似纠纷处理提供参考。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2024年2月，某传媒公司与主播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（化名）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签订为期一年的《直播合作协议（团播版）》，约定双方开展直播合作。合作推进过程中，双方在工作安排上产生矛盾，2024年9月下旬，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某直接停止直播工作。传媒公司多次沟通无果后，向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某寄送律师函，要求其尽快恢复直播，然而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某始终未复工。在违约金协商无果后，该传媒公司将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某诉至法院，请求判令其按照协议约定支付违约金20万元。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庭审中，案件核心争议集中在双方法律关系认定、违约金数额是否合理两大方面。法院结合协议内容与实际履约细节综合研判，案涉合作协议明确双方为互惠共赢的直播合作关系，并非劳动、劳务关系，同时约定主播的社保与个税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合作期间，传媒公司负责短视频策划、拍摄、流量扶持等配套服务，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依托自身条件开展直播演艺工作，双方以共同获益为目标。公司提出的直播相关要求，属于协议框架内的正常协作管理，并未形成劳动关系特有的人身依附与组织隶属关系。收益结算采用前期保底扶持、后期按直播流水阶梯分成的模式，也与常规劳动报酬发放形式存在明显区别，据此认定双方属于平等民事主体间的合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法院同时指出，双方合作期限尚未届满，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无正当理由停播时长超过二十日，直接导致合作目的无法实现，其行为已构成根本性违约，应当承担相应违约责任。依据法律规定，违约金以弥补实际损失为主要功能，兼具惩罚属性。本案协议设置多种违约金计算方式，择高计算得出的20万元违约金标准明显偏高，且原告未能举证证明自身实际损失。综合合同履行情况、双方收益状况以及当事人过错程度，秉持公平与诚实信用原则，法院依法对违约金予以调整，最终判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</w:rPr>
        <w:t>某支付违约金2万元。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官表示，判定网络主播与经纪公司是否构成劳动关系，关键在于审查经纪公司是否对主播形成支配性劳动管理，人格、经济、组织三大从属性是核心判断依据。主播与经纪公司签订合作协议后，双方均应恪守契约精神，严格履行合同义务，随意违约必将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场主体订立合同时约定违约金，应当遵循合理原则，过分高于实际损失的高额违约金，无法得到法律全额支持。法院依法调整不合理违约金，既保障守约方合法权益，也能规制行业乱象，推动网络直播行业在法治轨道上健康有序发展。</w:t>
      </w:r>
    </w:p>
    <w:bookmarkEnd w:id="0"/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（黄河）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C4168"/>
    <w:rsid w:val="65CE0514"/>
    <w:rsid w:val="7ED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2026-06-18T00:16:40Z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