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2"/>
          <w:szCs w:val="32"/>
        </w:rPr>
      </w:pPr>
      <w:bookmarkStart w:id="0" w:name="_GoBack"/>
      <w:r>
        <w:rPr>
          <w:rFonts w:hint="eastAsia"/>
          <w:b/>
          <w:bCs/>
          <w:sz w:val="32"/>
          <w:szCs w:val="32"/>
        </w:rPr>
        <w:t>张跃为全院干警讲授树立和践行正确政绩观学习教育</w:t>
      </w:r>
    </w:p>
    <w:p>
      <w:pPr>
        <w:jc w:val="center"/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专题党课</w:t>
      </w:r>
    </w:p>
    <w:bookmarkEnd w:id="0"/>
    <w:p>
      <w:pPr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2026年7月3日下午，桐城市人民法院党组书记、院长张跃以《以正确政绩观引领法院工作高质量发展》为题，为全体党员干警讲授树立和践行正确政绩观学习教育专题党课。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张跃在党课中强调，一是在学习教育中锤炼立党为公的政治品格。要深刻领悟学习教育的重要意义，准确把握习近平党建思想“十四个坚持”的内涵要义，并贯穿于执法办案全过程、各环节，真正做实“从政治上看、从法治上办”。二是在学习教育中增强为民造福的高度自觉。要秉持“如我在诉”理念，坚持严格公正司法，做实定分止争，以求极致的精神化解矛盾纠纷，努力让人民群众在每一个司法案件中感受到公平正义。三是在学习教育中构筑科学决策的实践逻辑。要尊重客观规律和群众需求，坚持“质量优先、兼顾效率、注重效果”的办案导向，杜绝弄虚作假、虚假结案，提高裁判文书释法说理能力，以符合司法规律的审判管理促推案件审理与服务治理贯通融合。四是在学习教育中强化真抓实干的使命担当。要持续改进司法作风、强化实干担当，坚持正确选人用人导向，优化完善绩效考核制度，让办案办事马虎大意、不担当不作为的领导干部、员额法官“能退”且“退得出”，让想干事、能干事、干成事的“能上”且“上得去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（陈佳伟）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3C24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Office_10.1.0.7346_F1E327BC-269C-435d-A152-05C5408002CA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2026-07-03T08:44:56Z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</Properties>
</file>