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r>
        <w:rPr>
          <w:rFonts w:hint="eastAsia"/>
          <w:b/>
          <w:bCs/>
          <w:sz w:val="32"/>
          <w:szCs w:val="32"/>
        </w:rPr>
        <w:t>桐城市人民法院召开涉企执法司法问题整治工作推进会</w:t>
      </w: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为深入贯彻落实上级法院关于涉企执法司法突出问题专项整治工作部署要求，持续优化法治化营商环境，</w:t>
      </w:r>
      <w:r>
        <w:rPr>
          <w:rFonts w:hint="eastAsia" w:ascii="仿宋_GB2312" w:hAnsi="仿宋_GB2312" w:eastAsia="仿宋_GB2312" w:cs="仿宋_GB2312"/>
          <w:sz w:val="32"/>
          <w:szCs w:val="32"/>
          <w:lang w:val="en-US" w:eastAsia="zh-CN"/>
        </w:rPr>
        <w:t>7月10日</w:t>
      </w:r>
      <w:r>
        <w:rPr>
          <w:rFonts w:hint="eastAsia" w:ascii="仿宋_GB2312" w:hAnsi="仿宋_GB2312" w:eastAsia="仿宋_GB2312" w:cs="仿宋_GB2312"/>
          <w:sz w:val="32"/>
          <w:szCs w:val="32"/>
        </w:rPr>
        <w:t>，桐城市人民法院召开涉企执法司法问题整治工作推进会。会议由院党组副书记、副院长蒋斌主持，</w:t>
      </w:r>
      <w:r>
        <w:rPr>
          <w:rFonts w:hint="eastAsia" w:ascii="仿宋_GB2312" w:hAnsi="仿宋_GB2312" w:eastAsia="仿宋_GB2312" w:cs="仿宋_GB2312"/>
          <w:sz w:val="32"/>
          <w:szCs w:val="32"/>
          <w:lang w:eastAsia="zh-CN"/>
        </w:rPr>
        <w:t>其他院</w:t>
      </w:r>
      <w:r>
        <w:rPr>
          <w:rFonts w:hint="eastAsia" w:ascii="仿宋_GB2312" w:hAnsi="仿宋_GB2312" w:eastAsia="仿宋_GB2312" w:cs="仿宋_GB2312"/>
          <w:sz w:val="32"/>
          <w:szCs w:val="32"/>
        </w:rPr>
        <w:t>领导、各部门负责人及工作联络员参会。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会上集中传达学习《最高人民法院办公厅关于坚持严格公正司法深入推进涉企执法司法问题整治的通知》及上级法院有关文件精神</w:t>
      </w:r>
      <w:r>
        <w:rPr>
          <w:rFonts w:hint="eastAsia" w:ascii="仿宋_GB2312" w:hAnsi="仿宋_GB2312" w:eastAsia="仿宋_GB2312" w:cs="仿宋_GB2312"/>
          <w:sz w:val="32"/>
          <w:szCs w:val="32"/>
        </w:rPr>
        <w:t>，全面解读专项整治工作重点任务。会议强调，本次专项整治聚焦立案、审判、执行、司法作风四大关键环节，坚持问题导向、靶向纠治。要从严整治违规不予立案、民事案件“争管辖”“推管辖”等损害企业合法</w:t>
      </w:r>
      <w:bookmarkStart w:id="0" w:name="_GoBack"/>
      <w:bookmarkEnd w:id="0"/>
      <w:r>
        <w:rPr>
          <w:rFonts w:hint="eastAsia" w:ascii="仿宋_GB2312" w:hAnsi="仿宋_GB2312" w:eastAsia="仿宋_GB2312" w:cs="仿宋_GB2312"/>
          <w:sz w:val="32"/>
          <w:szCs w:val="32"/>
        </w:rPr>
        <w:t>权益的突出问题。各业务庭室须严格对照整治标准，对在办、已结涉企案件开展全覆盖、拉网式自查排查，做到深查实纠、立行立改，确保整治工作不留死角、不走过场、取得实效。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要求，各部门负责人要第一时间传达落实会议精神，压实工作责任，细化工作举措，推动整治任务落地落细。各专项工作联络员要切实履职尽责，做好信息报送、典型案例梳理、工作经验总结等日常工作。全院干警要以此次专项整治为抓手，进一步规范涉企案件办理流程，补齐工作短板，持续提升涉企审判、执行工作质效，以</w:t>
      </w:r>
      <w:r>
        <w:rPr>
          <w:rFonts w:hint="eastAsia" w:ascii="仿宋_GB2312" w:hAnsi="仿宋_GB2312" w:eastAsia="仿宋_GB2312" w:cs="仿宋_GB2312"/>
          <w:sz w:val="32"/>
          <w:szCs w:val="32"/>
          <w:lang w:eastAsia="zh-CN"/>
        </w:rPr>
        <w:t>优质</w:t>
      </w:r>
      <w:r>
        <w:rPr>
          <w:rFonts w:hint="eastAsia" w:ascii="仿宋_GB2312" w:hAnsi="仿宋_GB2312" w:eastAsia="仿宋_GB2312" w:cs="仿宋_GB2312"/>
          <w:sz w:val="32"/>
          <w:szCs w:val="32"/>
        </w:rPr>
        <w:t>司法服务护航桐城经济社会高质量发展。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（魏萱）</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581F18"/>
    <w:rsid w:val="30964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2026-07-10T09:11:57Z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