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桐城法院召开2026年“两官”述职评议考核工作会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为深入贯彻落实司法责任制改革要求，常态化加强员额法官履职监督，进一步规范司法行为、提升司法公信力、锻造过硬司法队伍，8月5日上午，市人大常委会党组副书记、副主任汪名东带队，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</w:rPr>
        <w:t>桐城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法院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2026年“两官”述职评议考核工作。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会议由院党组书记、院长张跃主持，全院正式干警参会。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汪名东强调，开展法官述职评议是人大落实宪法法律监督职责的法定举措，是回应群众司法期盼、维护司法公平正义的现实需要，也是锻造高素质审判队伍的重要抓手。他要求，要严格规范评议流程，聚焦案件质效、司法作风、廉洁自律等关键环节，坚持实事求是开展评议；要强化评议结果运用，将测评结果作为法官评优晋升、岗位调整的重要依据，以刚性监督倒逼审判质效提升；要压实工作责任，密切人大与法院协作配合，确保述职评议工作规范有序、取得实效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民事审判一庭庭长刘亮、行政审判庭庭长徐陈军、刑事审判庭庭长鲍黎蕾依次作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履职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与会干警进行了</w:t>
      </w:r>
      <w:r>
        <w:rPr>
          <w:rFonts w:hint="eastAsia" w:ascii="仿宋_GB2312" w:hAnsi="仿宋_GB2312" w:eastAsia="仿宋_GB2312" w:cs="仿宋_GB2312"/>
          <w:sz w:val="32"/>
          <w:szCs w:val="32"/>
        </w:rPr>
        <w:t>民主测评。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会后，考核组还通过个别谈话、查阅卷宗等方式对考核对象进行了进一步深入了解。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（严娅）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250CA"/>
    <w:rsid w:val="3C6D11FE"/>
    <w:rsid w:val="48025D30"/>
    <w:rsid w:val="5D5864AF"/>
    <w:rsid w:val="6074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558</Characters>
  <Lines>0</Lines>
  <Paragraphs>0</Paragraphs>
  <TotalTime>18</TotalTime>
  <ScaleCrop>false</ScaleCrop>
  <LinksUpToDate>false</LinksUpToDate>
  <CharactersWithSpaces>558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2026-08-05T09:11:25Z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KSOTemplateDocerSaveRecord">
    <vt:lpwstr>eyJoZGlkIjoiMjRlN2Y5NTdhODExZGU0NjQ3YWZiMDM4NDQyMDZlOGIiLCJ1c2VySWQiOiI2Mjg3MDkyIn0=</vt:lpwstr>
  </property>
  <property fmtid="{D5CDD505-2E9C-101B-9397-08002B2CF9AE}" pid="4" name="ICV">
    <vt:lpwstr>DBDE0ED4F4AA4D40BDBD9BAAADD24359_12</vt:lpwstr>
  </property>
</Properties>
</file>